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MERIDIAN FREIGHT</w:t>
      </w:r>
    </w:p>
    <w:p>
      <w:pPr>
        <w:pStyle w:val="Heading1"/>
      </w:pPr>
      <w:r>
        <w:t xml:space="preserve">Carrier Service Agreement</w:t>
      </w:r>
    </w:p>
    <w:p>
      <w:r>
        <w:rPr>
          <w:i/>
          <w:iCs/>
        </w:rPr>
        <w:t xml:space="preserve">Agreement No. MF-SA-2026-018 | Effective 2026-08-14</w:t>
      </w:r>
    </w:p>
    <w:p/>
    <w:p>
      <w:pPr>
        <w:pStyle w:val="Heading2"/>
      </w:pPr>
      <w:r>
        <w:t xml:space="preserve">1. Scope of Services</w:t>
      </w:r>
    </w:p>
    <w:p>
      <w:r>
        <w:t xml:space="preserve">The Carrier agrees to provide road freight transportation services for palletized goods between the Shipper's distribution centers and the destination ports listed in Annex A. Services include loading supervision, sealed transport, and proof-of-delivery documentation.</w:t>
      </w:r>
    </w:p>
    <w:p>
      <w:pPr>
        <w:pStyle w:val="Heading2"/>
      </w:pPr>
      <w:r>
        <w:t xml:space="preserve">2. Service Levels</w:t>
      </w:r>
    </w:p>
    <w:p>
      <w:r>
        <w:t xml:space="preserve">Standard transit time is 48 hours for domestic lanes and 96 hours for cross-border lanes. The Carrier shall maintain a monthly on-time delivery rate of no less than 96 percent, measured against the booking confirmation schedule.</w:t>
      </w:r>
    </w:p>
    <w:p>
      <w:pPr>
        <w:pStyle w:val="Heading2"/>
      </w:pPr>
      <w:r>
        <w:t xml:space="preserve">3. Liability and Insurance</w:t>
      </w:r>
    </w:p>
    <w:p>
      <w:r>
        <w:t xml:space="preserve">The Carrier shall maintain cargo insurance covering the full commercial value of goods in transit. Liability for loss or damage is governed by the CMR Convention unless otherwise agreed in writing.</w:t>
      </w:r>
    </w:p>
    <w:p>
      <w:pPr>
        <w:pStyle w:val="Heading2"/>
      </w:pPr>
      <w:r>
        <w:t xml:space="preserve">4. Invoicing</w:t>
      </w:r>
    </w:p>
    <w:p>
      <w:r>
        <w:t xml:space="preserve">Invoices are issued monthly as structured e-invoices and are payable within 30 days. Disputed line items must be raised within 10 business days of the invoice date.</w:t>
      </w:r>
    </w:p>
    <w:p/>
    <w:p>
      <w:pPr>
        <w:jc w:val="center"/>
      </w:pPr>
      <w:r>
        <w:rPr>
          <w:color w:val="888888"/>
          <w:sz w:val="16"/>
          <w:szCs w:val="16"/>
        </w:rPr>
        <w:t xml:space="preserve">Meridian Freight is a fictional company used for ConvertAPI demo files.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Carrier Service Agreement - Meridian Freight</dc:title>
  <dc:creator>Meridian Freight</dc:creator>
  <cp:lastModifiedBy>Un-named</cp:lastModifiedBy>
  <cp:revision>1</cp:revision>
  <dcterms:created xsi:type="dcterms:W3CDTF">2026-08-14T09:36:31.458Z</dcterms:created>
  <dcterms:modified xsi:type="dcterms:W3CDTF">2026-08-14T09:36:31.459Z</dcterms:modified>
</cp:coreProperties>
</file>

<file path=docProps/custom.xml><?xml version="1.0" encoding="utf-8"?>
<Properties xmlns="http://schemas.openxmlformats.org/officeDocument/2006/custom-properties" xmlns:vt="http://schemas.openxmlformats.org/officeDocument/2006/docPropsVTypes"/>
</file>